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2008/26 vom 15. Juli 2008</w:t>
      </w:r>
    </w:p>
    <w:p>
      <w:r>
        <w:t>Bundesverwaltungsgericht, 2008-07-15, DE</w:t>
      </w:r>
    </w:p>
    <w:p>
      <w:r>
        <w:rPr>
          <w:b/>
        </w:rPr>
        <w:t xml:space="preserve">Quelle: </w:t>
      </w:r>
      <w:r>
        <w:t>https://mcp.opencaselaw.ch/entscheid/bvger_BVGE 2008_26</w:t>
      </w:r>
    </w:p>
    <w:p>
      <w:r>
        <w:t>FR: TAF BVGE 2008/26 du 15 juillet 2008</w:t>
      </w:r>
    </w:p>
    <w:p>
      <w:r>
        <w:t>IT: TAF BVGE 2008/26 del 15 luglio 2008</w:t>
      </w:r>
    </w:p>
    <w:p>
      <w:pPr>
        <w:pStyle w:val="Heading2"/>
      </w:pPr>
      <w:r>
        <w:t>Regeste</w:t>
      </w:r>
    </w:p>
    <w:p>
      <w:r>
        <w:t>Schweizerische Maturität</w:t>
      </w:r>
    </w:p>
    <w:p>
      <w:pPr>
        <w:pStyle w:val="Heading2"/>
      </w:pPr>
      <w:r>
        <w:t>Erwägungen</w:t>
      </w:r>
    </w:p>
    <w:p>
      <w:r>
        <w:rPr>
          <w:b/>
        </w:rPr>
        <w:t>E. 4</w:t>
      </w:r>
    </w:p>
    <w:p>
      <w:r>
        <w:t>Der Beschwerdeführer bringt im Wesentlichen vor, er habe die Ergänzungsprüfungen « Passerelle Berufsmaturität - universitäre Hochschulen » in den Fächern Physik sowie Geschichte und Geografie unter Umständen ablegen müssen, die seiner Behinderung nicht angepasst gewesen seien. Der Zweck von Prüfungen ist es, Aufschluss über die fachliche und persönliche Befähigung der Kandidaten für einen bestimmten Beruf oder für eine bestimmte Ausbildung zu geben. Dabei geht es um die Feststellung der konkret vorhandenen Kenntnisse und Fähigkeiten der Kandidaten. Dementsprechend haben Prüfungskandidaten einen Anspruch darauf, ihre tatsächliche Befähigung nachweisen zu können. Behinderungen sind besondere persönliche Eigenschaften, welche die betroffenen Kandidaten gegenüber nicht-behinderten Kandidaten bei einer Prüfung benachteiligen. Wird bei der Ausgestaltung einer Prüfung diesen persönlichen Nachteilen nicht durch positive Ausgleichsmassnahmen Rechnung getragen, kann der Aussagewert der Prüfungsleistung mitunter stark verfälscht werden. Deshalb sind im Folgenden die Grundlagen, der Umfang und die Form des Anspruchs von Prüfungskandidaten mit Behinderungen auf einen positiven Nachteilsausgleich darzustellen.</w:t>
      </w:r>
    </w:p>
    <w:p>
      <w:r>
        <w:rPr>
          <w:b/>
        </w:rPr>
        <w:t>E. 4.1</w:t>
      </w:r>
    </w:p>
    <w:p>
      <w:r>
        <w:t>Nach Art. 8 Abs. 2 der Bundesverfassung der Schweizerischen Eidgenossenschaft vom 18. April 1999 (BV, SR 101) darf niemand diskriminiert werden, namentlich nicht wegen einer körperlichen Behinderung. Diese Bestimmung orientiert sich in ihren Grundzügen an den internationalen Grund- und Menschenrechtsgarantien, insbesondere der Europäischen Menschenrechtskonvention und des UNO-Pakts II (GIOVANNI BIAGGINI, Kommentar zur Bundesverfassung der Schweizerischen Eidgenossenschaft, Zürich 2007, Art. 8 N 3; RAINER J. SCHWEIZER, in: Bernhard Ehrenzeller/Philippe Mastronardi/Rainer J. Schweizer/Klaus A. Vallender (Hrsg.), Die Schweizerische Bundesverfassung, Kommentar, 2. Aufl., Zürich/St. Gallen/Basel/Genf 2008, Art. 8 BV, Rz. 43). Die Diskriminierung im Sinne von Art. 8 Abs. 2 BV stellt im Vergleich zur rechtsungleichen Behandlung im Sinne von Art. 8 Abs. 1 BV eine qualifizierte Ungleichbehandlung dar (PATRICKSUTTER/FRANZISKASPRECHER, Das behinderte Kind im Schul- und Ausbildungsrecht, Zürich/Basel/Genf 2006, S. 182, mit weiteren Hinweisen). Was als Diskriminierung gewertet wird bzw. worin die qualifizierte Ungleichbehandlung gegenüber einer gewöhnlichen rechtsungleichen Behandlung liegt, hängt vom jeweiligen Diskriminierungsverständnis ab. Allgemein lassen sich drei Diskriminierungstheorien unterscheiden: Nach der Anknüpfungstheorie liegt eine Diskriminierung dann vor, wenn der zu beurteilende Rechtsakt an die in Art. 8 Abs. 2 BV erwähnten persönlichen Eigenschaften anknüpft. Nach diesem Verständnis sind positive Massnahmen zu Gunsten diskriminierungsgeschützter Personengruppen (sog. affirmative action bzw. umgekehrte Diskriminierung) nur zulässig, wenn dies Verfassung oder Gesetz ausdrücklich vorsehen und die Begünstigung für nicht-diskriminierungsgeschützte Personengruppen nicht unverhältnismässig ist. Demgegenüber versteht die Benachteiligungstheorie die Diskriminierung als eine faktische Ungleichbehandlung von diskriminierungsgeschützten Personengruppen im Vergleich zu nicht-diskriminierungsgeschützten Personengruppen, die nicht qualifiziert gerechtfertigt werden kann. Dabei kommt es darauf an, ob die fraglichen Massnahmen oder Rechtsnormen direkt oder indirekt bei diskriminierungsgeschützten Personengruppen zu einer faktischen Benachteiligung führen. Die Herabwürdigungstheorie schliesslich stellt - wie die Benachteiligungstheorie - auf die faktische Ungleichbehandlung ab, qualifiziert aber als Diskriminierung nur eine ausgrenzende oder herabwürdigende Behandlung von diskriminierungsgeschützten Personengruppen. Sie verlangt mit anderen Worten eine qualifizierte faktische Ungleichbehandlung bzw. Benachteiligung. Nach der Rechtsprechung des BGer (z. B. BGE 129 I 392 E. 3.2.2, BGE 126 II 377 E. 6a, BGE 126 V 70 E. 4c/cc) enthält das allgemeine Diskriminierungsverbot im Sinne von Art. 8 Abs. 2 BV nur ein Herabwürdigungs-, nicht aber ein generelles Benachteiligungsverbot (SUTTER/SPRECHER, a.a.O., S. 182 mit Hinweisen auf die Rechtsprechung). Entgegen dieser Rechtsprechung des BGer zu Art. 8 Abs. 2 BV wird in der Lehre mitunter die Auffassung vertreten, dass für das allgemeine Diskriminierungsverbot dasselbe Diskriminierungsverständnis gelten müsse wie für das Behindertengleichstellungsgesetz vom 13. Dezember 2002 (BehiG, SR 151.3), dessen Fundament die Benachteiligungstheorie ist (HARDY LANDOLT, Bemerkungen zum Urteil des Bundesgerichts 2P.190/2004 in: Aktuelle Juristische Praxis 2005, S. 619 ff.). Eine Sonderbehandlung ohne Förderzwecke ist grundsätzlich nur zum Schutz einer besonderen Gruppe, nicht aber von Einzelpersonen, zulässig. Das BGer verlangt « triftige und ernsthafte Gründe », damit eine Sonderbehandlung vor der Verfassung standhält. Ungleichbehandlungen positiver Art, mit spezifischen und üblicherweise vorübergehenden Förderungsmassnahmen zugunsten besonders benachteiligter Gruppen, sog. affirmative actions, welche den Ausgleich früherer oder aktueller Diskriminierung bezwecken, können verfassungsrechtlich nicht nur zulässig, sondern unter Umständen sogar geboten sein, da gerade mittelbare Diskriminierungen oft nicht durch blosses Aufheben einer angefochtenen Regelung in befriedigender Weise korrigiert werden können. Benachteiligungen in der gesellschaftlichen Wirklichkeit und in deren Vorurteilen sind besonders tief verankert; sie können deshalb positive Massnahmen notwendig machen, um die erstrebte Gleichstellung zu erreichen. Aus der Verfassung folgt die Verpflichtung von Bund und Kantonen, im Rahmen ihrer Kompetenzen festgestellte mittelbare Diskriminierungen zu beseitigen. Ein besonderer Förderungsauftrag - wie er etwa für Behinderte in Art. 8 Abs. 4 BV verankert ist - ist dazu nicht notwendig(SCHWEIZER, a.a.O., Rz. 52 f., mit Verweis aufJÖRG PAUL MÜLLER, Grundrechte in der Schweiz, Bern 1999, S. 447 f.;BERNHARD WALDMANN, Das Diskriminierungsverbot von Art. 8 Abs. 2 BV als besonderer Gleichheitssatz, Bern 2003, S. 269). So lehnte der Europäische Gerichtshof für Menschenrechte im FallBotta gegen Italien (Urteil vom 24. Februar 1998, Recueil des arrêts et décisions 1998, 412 ff.) es zwar ab, im Rahmen des Schutzbereichs des Privatlebens eine positive Verpflichtung der Vertragsstaaten zur behindertengerechten Ausgestaltung von privaten Betrieben anzuerkennen. Indessen gab er mit seiner Prüfung und Gewichtung der örtlichen Verhältnisse im konkreten Einzelfall zu erkennen, dass entsprechende Forderungen von behinderten Menschen nicht allgemein und von vornherein zu verneinen sind (vgl.STEPHAN BREITENMOSER/BORIS RIEMER/CLAUDIA SEITZ, Praxis des Europarechts - Grundrechtsschutz, Zürich/Basel/Genf 2006, S. 52).</w:t>
      </w:r>
    </w:p>
    <w:p>
      <w:r>
        <w:rPr>
          <w:b/>
        </w:rPr>
        <w:t>E. 4.2</w:t>
      </w:r>
    </w:p>
    <w:p>
      <w:r>
        <w:t>In Art. 8 Abs. 4 BV wird das Diskriminierungsverbot von Art. 8 Abs. 2 BV in Bezug auf Behinderte zusätzlich durch ein besonderes verfassungsrechtliches Egalisierungsgebot ergänzt. Die Bundesverfassung erteilt mit dieser Bestimmung, wonach das Gesetz Massnahmen zur Beseitigung von Benachteiligungen der Behinderten vorsieht, den Gesetzgebern von Bund und Kantonen den Auftrag, Massnahmen zur Beseitigung von Benachteiligungen der Behinderten vorzusehen (Botschaft des Bundesrates zur Volksinitiative « Gleiche Rechte für Behinderte » und zum Entwurf eines Bundesgesetzes über die Beseitigung von Benachteiligungen behinderter Menschen vom 11. Dezember 2000 [im Folgenden: Botschaft], BBl 2001 1715 ff., 1775 und 1817). Gestützt auf diese Bestimmung wurden das BehiG sowie die Behindertengleichstellungsverordnung vom 19. November 2003 (BehiV, SR 151.31) erlassen. Beide traten am 1. Januar 2004 in Kraft. Das BehiG hat den Zweck, Benachteiligungen, denen Menschen mit Behinderungen ausgesetzt sind, zu verhindern, zu verringern oder zu beseitigen. Es setzt Rahmenbedingungen, die es Menschen mit Behinderungen erleichtern, am gesellschaftlichen Leben teilzunehmen und insbesondere selbstständig soziale Kontakte zu pflegen, sich aus- und fortzubilden und eine Erwerbstätigkeit auszuüben (Art. 1 Abs. 1 und 2 BehiG; Botschaft, BBl 2001 1775 f.). Bund und Kantone ergreifen Massnahmen, um Benachteiligungen zu verhindern, zu verringern oder zu beseitigen. Angemessene Massnahmen zum Ausgleich von Benachteiligungen der Behinderten stellen keine Ungleichbehandlung nach Art. 8 Abs. 1 BV dar (Art. 5 Abs. 1 und 2 BehiG; Botschaft, BBl 2001 1779 f.). Eine Benachteiligung liegt vor, wenn Behinderte rechtlich oder tatsächlich anders als Nicht-Behinderte behandelt und dabei ohne sachliche Rechtfertigung schlechter gestellt werden als diese, oder wenn eine unterschiedliche Behandlung fehlt, die zur tatsächlichen Gleichstellung Behinderter und Nicht-Behinderter notwendig wäre (Art. 2 Abs. 2 BehiG; Botschaft, BBl 2001 1777). Diese Definition entspricht dem Wesen der Diskriminierung im Sinne von Art. 8 Abs. 1 und 2 BV (MARGRITH BIGLER-EGGENBERGER, in: Bernhard Ehrenzeller et al., a.a.O., Rz. 103). Mit der Regelung von Art. 2 Abs. 2 BehiG wird für den öffentlichen Bereich explizit ein Benachteiligungsverbot statuiert, weshalb damit aus dem Behindertendiskriminierungsverbot nicht nur ein Herabwürdigungsverbot folgt. Demgegenüber gilt im privaten Bereich nur ein Herabwürdigungsverbot (Art. 6 BehiG i. V .m. Art. 2 Bst. d BehiV; Botschaft, BBl 2001 1756, 1780). Das Herabwürdigungsverbot gilt auch, wenn ein Behinderter nicht wegen seiner Behinderung, sondern wegen einer anderen in Art. 8 Abs. 2 BV erwähnten Eigenschaft ungleich behandelt wird (vgl. SUTTER/SPRECHER, a.a.O., S. 183). Nach Art. 2 Abs. 5 BehiG liegt bei der Inanspruchnahme von Aus- und Weiterbildung insbesondere dann eine Benachteiligung vor, wenn: « a. die Verwendung behindertenspezifischer Hilfsmittel oder der Beizug notwendiger persönlicher Assistenz erschwert werden; b. die Dauer und Ausgestaltung des Bildungsangebots sowie Prüfungen den spezifischen Bedürfnissen Behinderter nicht angepasst sind. » Diesbezüglich wurde in den parlamentarischen Beratungen zum BehiG im Nationalrat unter anderem Folgendes festgehalten: « ... quelquefois des personnes très intelligentes mais entravées dans leur motricité ne peuvent pas passer leurs examens au même rythme que leurs camarades qui ne souffrent pas de handicap » (Amtliches Bulletin [AB], 2002 N 1725, Votum Meyer). Unter dem Vorbehalt des Verhältnismässigkeitsprinzips müsse deshalb auf die spezifischen Bedürfnisse Behinderter Rücksicht genommen werden, soweit es im konkreten Fall möglich sei. Zu denken sei etwa an die Anpassung der Schulräume und Hörsäle, insbesondere der Tische, an die Bedürfnisse von Rollstuhlfahrern oder an das Bedürfnis Behinderter, länger auf die Toilette gehen zu können. Mit dem Begriff « insbesondere » würden neben dem Beizug der notwendigen Assistenz weitere Elemente zu einer behindertengerechten Ausgestaltung der Aus- und Weiterbildung ausdrücklich unterstützt (AB 2002 N 1725). Wer durch das Gemeinwesen im Sinne von Art. 2 Abs. 5 BehiG benachteiligt wird, kann beim Gericht oder bei der Verwaltungsbehörde verlangen, dass das Gemeinwesen die Benachteiligung beseitigt oder unterlässt (Art. 8 Abs. 2 BehiG). Das Gericht oder die Verwaltungsbehörde ordnet die Beseitigung der Benachteiligung jedoch in jenen Fällen nicht an, in denen der für Behinderte zu erwartende Nutzen insbesondere im Verhältnis zum wirtschaftlichen Aufwand in einem Missverhältnis steht (Art. 11 Abs. 1 Bst. a BehiG).</w:t>
      </w:r>
    </w:p>
    <w:p>
      <w:r>
        <w:rPr>
          <w:b/>
        </w:rPr>
        <w:t>E. 4.3</w:t>
      </w:r>
    </w:p>
    <w:p>
      <w:r>
        <w:t>Auf Bundesebene finden sich im Berufsbildungsgesetz vom 13. Dezember 2002 (BBG, SR 412.10, Art. 3 Bst. c) weitere Bestimmungen mit dem Ziel der Förderung und Entwicklung sowie der Beseitigungen von Benachteiligungen von Menschen mit Behinderungen. Demnach kann für Personen mit Lernschwierigkeiten oder Behinderungen die Dauer der beruflichen Grundbildung angemessen verlängert oder verkürzt werden (Art. 18 Abs. 1 BBG). Die Berufsfachschule fördert unter anderem die Beseitigung von Benachteiligungen von Menschen mit Behinderungen durch entsprechende Bildungsangebote und -formen (Art. 21 Abs. 2 Bst. c BBG). Als besondere Leistungen des Bundes im öffentlichen Interesse gelten insbesondere Massnahmen zur Förderung der Bildung und der berufsorientierten Weiterbildung von Menschen mit Behinderungen (Art. 52 Abs. 1 i.V.m. Art. 55 Abs. 1 Bst. a BBG). Die Berufsbildungsverordnung vom 19. November 2003 (BBV, SR 412.101) führt aus, falls eine Kandidatin oder ein Kandidat auf Grund einer Behinderung besondere Hilfsmittel oder mehr Zeit benötigt, wird dies angemessen gewährt (Art. 35 Abs. 3 BBV). Auch die Mehrheit der Kantone verfügt über spezifisch auf Behinderte zugeschnittene Bestimmungen, ohne dass dabei aber ein allgemeiner Standard festgestellt werden kann. Meistens finden sich die behindertenspezifischen Normen nicht in einem, sondern in zahlreichen Erlassen des jeweiligen kantonalen Rechts, insbesondere in Raumplanungs- und Baugesetzen oder in Steuergesetzen. Während beinahe alle Kantone in ihren Verfassungen die Pflicht des Staates stipulieren, die besonderen Bedürfnisse der Behinderten zu berücksichtigen, sehen nur einzelne von ihnen besondere Bestimmungen in ihren Gesetzgebungen vor (Botschaft, BBl 2001 1747 ff.). So bezweckt z. B. das Gesetz über die Eingliederung behinderter Menschen des Kantons Wallis vom 31. Januar 1991 (Systematische Gesetzessammlung [SG] des Kantons Wallis, SG VS 850.6) die Förderung der Eingliederung behinderter Menschen (Art. 1 Abs. 1). Des Weiteren bezweckt etwa das Behindertengesetz des Kantons Graubünden vom 18. Februar 1979 (SG des Kantons Graubünden, Band II, 440.000) die vorschulische, die schulische und die berufliche Förderung, Beschäftigung, Bildung und Betreuung sowie die soziale Integration von Personen mit Behinderungen. Unter kantonale Förderungsmassnahmen für Behinderte fallen die Sonderschulung einschliesslich pädagogisch-therapeutischer Massnahmen, die berufliche Ausbildung, Eingliederung und Wiedereingliederung, das behindertengerechte Bauen, die Organisationen, Betriebe und Personen, welche die soziale und berufliche Integration behinderter Erwachsener unterstützen, sowie Einrichtungen zur beruflichen und sozialen Integration behinderter Erwachsener. Bei allen Massnahmen sind die Art der Behinderung, die Fähigkeiten und Bedürfnisse sowie die Selbstbestimmung der Behinderten zu berücksichtigen (Art. 1 und 1a Behindertengesetz des Kantons Graubünden).</w:t>
      </w:r>
    </w:p>
    <w:p>
      <w:r>
        <w:rPr>
          <w:b/>
        </w:rPr>
        <w:t>E. 4.4</w:t>
      </w:r>
    </w:p>
    <w:p>
      <w:r>
        <w:t>Das BGer hat sich in seiner Rechtsprechung betreffend Behinderte bisher neben der Anwendung des BehiG im Baubereich (vgl. dazu NADJA HERZ, 3 Jahre Behindertengleichstellungsgesetz - Erfahrungen aus der Praxis, in: PBG aktuell, 2007, H. 1, S. 5-19) insbesondere zum Diskriminierungsverbot im Allgemeinen und zu Fragen im Bereich der Invalidenversicherung im Besonderen geäussert (z. B. BGE 133 V 472, BGE 132 I 167, BGE 132 I 82; Urteil des BGer 5P.97/2006 vom 1. Juni 2006, Urteil des BGer I 68/02 vom 18. August 2005, Urteil des BGer 2P.140/2002 vom 18. Oktober 2002). Auf dem Gebiet der Bildung äusserte sich das BGer etwa zum Anspruch auf unentgeltlichen Grundschulunterricht, der Ein- und Sonderschulung im Besonderen oder zur Frage der Übernahme der Transportkosten für den Besuch des Untergymnasiums (Urteil des BGer 2C.187/2007 vom 16. August 2007; BGE 133 I 156, BGE 130 I 352). Im Zusammenhang mit einem Schulzuweisungsentscheid und dem in Art. 19 BV statuierten Anspruch auf ausreichenden Grundschulunterricht hielt das BGer fest, die Benachteiligung behinderter Kinder sei mit Art. 8 Abs. 4 BV grundsätzlich unvereinbar, nicht aber ihre unterschiedliche Behandlung, wie etwa im schulischen Bereich. Jedes behinderte Kind solle seinen intellektuellen Fähigkeiten entsprechende Schulen besuchen können. Das Wohl des behinderten Kindes sei vorab massgebend für den Entscheid, welche Schule in Frage komme. Weder qualifiziere sich die Sonderschulung als ein Eingriff in das Recht des Kindes auf freie Entfaltung der Persönlichkeit, noch bestehe ein Anspruch, ohne Rücksicht auf die Fähigkeiten andere Schulen am Wohnort zu besuchen, wenn dort keine Sonderschulung möglich sei, die der konkreten Behinderung entspreche. Das Diskriminierungsverbot und das BehiG könnten als allgemein gehaltene Bestimmungen nicht dazu führen, dass jemand entgegen seinen Interessen und seinem Wohl in die Einführungsklasse eingeschult werde. Insofern ändere das Anliegen, Menschen mit Behinderungen nicht zu diskriminieren, nichts am Beurteilungsmassstab. Zwar müsse eine behinderungsbedingte Ungleichbehandlung, wie die Nichteinschulung in die Regelschule, qualifiziert gerechtfertigt werden. Eine unterschiedliche Behandlung - nicht aber eine Benachteiligung - sei mit Verfassung und Gesetz jedoch durchaus vereinbar. Massgebend sei dabei in erster Linie das Wohl der Betroffenen, wobei das effektiv Mögliche nicht ausser Acht gelassen werden dürfe (BGE 130 I 352 E. 6). Der Anspruch auf eine den individuellen Fähigkeiten und der Persönlichkeitsentwicklung entsprechende, unentgeltliche Grundschulausbildung sei verletzt, wenn die Ausbildung des Kindes in einem Masse eingeschränkt werde, welches die Chancengleichheit nicht mehr wahre, und wenn das Kind Lerninhalte nicht vermittelt erhalte, die in der hiesigen Wertordnung als unverzichtbar gelten (Urteil des BGer 2C.187/2007 vom 16. August 2007 E. 2.3.1). Das Verwaltungsgericht des Kantons Zürich hielt im Zusammenhang mit der Frage der integrativen Schulung für ein autistisches Kind fest, dass ein Zusatzangebot, welches sich nicht an den schulischen Bedürfnissen einer Schülerin orientiere, eine Benachteiligung im Sinne von Art. 2 Abs. 5 i.V.m. Art. 3 Bst. f BehiG darstelle. Gemäss Art. 11 Abs. 1 BehiG sei die Aufrechterhaltung einer Benachteiligung gerechtfertigt, wenn der Nutzen einer Massnahme für den Behinderten in einem Missverhältnis zum öffentlichen Interesse, z. B. zum wirtschaftlichen Aufwand, stehe. Auf Grund der Gegenüberstellung des privaten Interesses an zusätzlichen, auf die spezifischen schulischen Bedürfnisse ausgerichteten Förderstunden und dem öffentlichen Interesse bejahte das Gericht den Anspruch auf schulische Förderung mit der Begründung, dass die Betreuung durch eine Heilpädagogin während 20 Stunden sowie die zusätzliche Förderung während acht Stunden ebenso hohe Kosten verursachten wie der Besuch einer heilpädagogischen Schule mit Zusatzunterricht oder der Besuch einer speziell für autistische Kinder ausgerichteten Schule (Urteil VB.2006.00450 vom 7. Februar 2007). Im Zusammenhang mit den fachlichen Anforderungen in und an Prüfungen kann zudem auf verschiedene Urteile des BGer hingewiesen werden, die bereits vor Inkrafttreten des BehiG ergangen sind. So lehnte das BGer etwa einen Anspruch darauf, dass die Fähigkeitsanforderungen an die Zulassung zum Anwaltsberuf für Behinderte gesenkt werden, ab (BGE 122 I 130 E. 3). Es erwog, verfassungsmässige Rechte enthielten eine konstitutive oder programmatische Komponente, was aber nichts daran ändern könne, dass die Menschen aufgrund ihrer faktischen Ungleichheit in Bezug auf das Vermögen, die Gesundheit oder die Begabung in unterschiedlichem Masse in der Lage seien, von den ihnen rechtlich zustehenden Möglichkeiten und Ansprüchen Gebrauch zu machen. Der Staat sei weder aufgrund der Rechtsgleichheit noch aufgrund spezifischer Grundrechte verpflichtet, sämtliche faktischen Ungleichheiten zu beheben. Dies schlage sich auch in der Möglichkeit nieder, bestimmte Berufe zu ergreifen. Viele Berufe erforderten besondere Eigenschaften und Fähigkeiten, die nicht alle Menschen in gleichem Masse besässen. Der blosse Umstand, dass einzelne Personen ohne eigenes Verschulden diese Fähigkeiten nicht besässen, könne nicht dazu führen, dass die Anforderungen reduziert werden müssten. Die (damalige) Handels- und Gewerbefreiheit - diese entspricht der heutigen Wirtschaftsfreiheit von Art. 27 BV - könne jedenfalls keinen Anspruch darauf geben, dass solche Berufe von allen Personen ungeachtet ihrer individuellen Fähigkeiten ergriffen und ausgeübt werden dürften. Aus der menschenrechtlichen Komponente, die der Handels- und Gewerbefreiheit insbesondere in der Ausgestaltung der Berufswahlfreiheit innewohne, folge, dass der Staat die Berufszulassung nicht unnötigerweise von Voraussetzungen abhängig machen dürfe, die Behinderte nicht erfüllen könnten. Solange jedoch polizeilich gerechtfertigte Anforderungen zur Diskussion stünden, könne der blosse Umstand, dass einzelne Personen diese nicht zu erfüllen vermögen, noch kein Grund sein, die Anforderungen zu senken. Das Erfordernis eines Fähigkeitsnachweises für Rechtsanwälte diene namentlich dem Schutz des rechtsuchenden Publikums, weshalb es gerechtfertigt sei, hohe Anforderungen an die Fachkenntnisse eines Anwalts zu stellen. Werde der Prüfungsablauf der spezifischen Situation eines behinderten Kandidaten angepasst, sei ein allenfalls aus der Handels- und Gewerbefreiheit ableitbarer Anspruch auf individuelle Gestaltung des Prüfungsablaufs jedenfalls nicht verletzt. Ebenso sei damit das Gebot beachtet, Ungleiches ungleich zu behandeln und damit auch im Lichte der Rechtsgleichheit nicht zu beanstanden, dass die Prüfungsanforderungen für einen behinderten Kandidaten nicht reduziert werden. Zum gleichen Schluss kam das BGer im Zusammenhang mit einer Aufnahmeprüfung an die Mittelschule (Urteil des BGer 2P.140/2002 vom 18. Oktober 2002). Eine Ungleichbehandlung gegenüber anderen Prüfungskandidaten sei zu verneinen, wenn ein behinderter Kandidat wie alle anderen Kandidaten nach der anwendbaren Prüfungsverordnung beurteilt werde. Werde der Eintritt in die Mittelschule nicht wegen vorhandener Gebrechen, sondern mangels Erfüllung der Zulassungsanforderungen an die Mittelschule verweigert, liege keine direkte Diskriminierung im Sinne von Art. 8 Abs. 2 BV vor. Der Besuch eines Gymnasiums, dessen Ziel der Erwerb der Hochschulreife sei, stelle höhere Anforderungen an Schüler als der Besuch einer Volks- oder Sekundarschule. Dazu gehöre unter anderem auch die Fähigkeit, unter Stressbedingungen Gedankengänge richtig zu erfassen und in einer korrekten Formulierung zum Ausdruck zu bringen, zumal dies in allen Schulfächern von Wichtigkeit sei. Diese Fähigkeit dürfe auch von Behinderten erwartet werden. Daher stelle es keine indirekte Diskriminierung dar, wenn es auf Grund einer Behinderung abgelehnt werde, die Anforderungen an eine Aufnahmeprüfung zu senken oder die Bewertung einer Arbeit zu verbessern.</w:t>
      </w:r>
    </w:p>
    <w:p>
      <w:r>
        <w:rPr>
          <w:b/>
        </w:rPr>
        <w:t>E. 4.5</w:t>
      </w:r>
    </w:p>
    <w:p>
      <w:r>
        <w:t>Diese Rechtsprechung wird auch im Schrifttum bestätigt (vgl. WERNER SCHNYDER, Rechtsfragen der beruflichen Weiterbildung in der Schweiz, Zürich 1999, Rz. 178 ff., mit weiteren Hinweisen). So seien bei körperlich behinderten Prüfungskandidaten zwecks Ausgleichs der persönlichen Behinderung und Gleichstellung mit nicht-behinderten Kandidaten spezielle Prüfungserleichterungen geboten. Die Notwendigkeit der beantragten Erleichterung müsse durch eine behördliche oder ärztliche Bestätigung angezeigt sein. Voraussetzung sei, dass der Kandidat die Prüfungsbehörde vorgängig in hinreichendem Masse über seine Behinderung und die erforderlichen und sachlich gerechtfertigten Anpassungen des Prüfungsablaufs informiere. Auf dem Notenblatt sei kein Vermerk betreffend Prüfungserleichterung einzutragen. Beim Nachteilsausgleich sei stets zu beachten, dass ein behinderter Kandidat durch die besondere Prüfungsausgestaltung gegenüber den übrigen Kandidaten nicht bevorzugt werden dürfe. Ziel der Anpassungen in der Prüfungsausgestaltung sei nur der Ausgleich der aus der Behinderung resultierenden Schlechterstellung, nicht aber eine Besserstellung gegenüber den übrigen Kandidaten. Die fachlichen Anforderungen seien jedoch mit Rücksicht auf die Behinderung nicht herabzusetzen. Die gewährten Erleicherungen dürften auch nicht dazu führen, dass Fertigkeiten, die für die Ausübung eines Berufs wichtig sind, nicht geprüft werden könnten. Es seien deshalb keine Erleichterungen zu gewähren hinsichtlich der Anforderungen, die der Prüfungsstoff verlangt. Qualifiziere eine Prüfung für einen Beruf, der gewisse körperliche oder geistige Fähigkeiten erfordert, müsse gewährleistet sein, dass die persönlichen Defizite auch dort noch hinreichend ausgeglichen werden könnten. Bei der Frage nach Art und Umfang des Ausgleichs müsse geprüft werden, welche Erleichterungen notwendig sind, damit ein behinderter Kandidat die gleichen Chancen habe, die Prüfung zu bestehen, wie wenn seine Behinderung nicht vorhanden wäre (SCHNYDER, a.a.O., Rz. 178 ff.). In Bezug auf die Ausgestaltung von Prüfungsabläufen ist dem Schrifttum (vgl. Saskia Keune/Claudia Frohnenberg, Nachteilsausgleich für behinderte Prüfungsteilnehmerinnen und Prüfungsteilnehmer, Handbuch mit Fallbeispielen und Erläuterungen für die Prüfungspraxis, Bonn 2004) Folgendes zu entnehmen: Die Anpassung des Prüfungsablaufs an spezifische Behinderungssituationen könne auf verschiedene Arten geschehen und sei auf den Einzelfall abzustimmen. Ein individualisiertes Vorgehen sei deshalb erforderlich, weil Art und Grad von Behinderung sehr vielfältig sein könnten. Ein Vorgespräch mit dem Kandidaten trage zur Herstellung eines günstigen Prüfungsklimas bei und sichere eine grössere Transparenz über den Prüfungsverlauf. Grundsätzlich sei als Nachteilsausgleich nur an formale Prüfungserleichterungen zu denken. Die am häufigsten gewählten Modifikationen seien Prüfungszeitverlängerungen in einem angemessenen Umfang, insbesondere als Ausgleich für ein behinderungsbedingt verlangsamtes Arbeitstempo, z. B. wegen Bewegungsstörungen. Dabei sei grundsätzlich zu prüfen, ob dem Kandidaten eine reine Zeitverlängerung auch wirklich helfe. Werde eine Verlängerung der Prüfungszeit gewährt, müsse sichergestellt werden, dass der Kandidat die Mehrzeit auch effektiv nutzen könne. Als weitere Anpassungen der Prüfungsmodalitäten sei an längere oder zusätzliche Pausen, eine stärkere Prüfungsgliederung, die Abnahme der Prüfung in mehreren Etappen, andere Prüfungsformen oder an die Benutzung eines Computers zu denken. Bei sehbehinderten Kandidaten seien z. B. die Prüfungsunterlagen zu vergrössern, um der übermässig auftretenden Ermüdung Rechnung zu tragen. Bei körperbehinderten Kandidaten wiederum sei ein behinderungsgerecht angepasster Arbeitsplatz erforderlich, der höhenverstellbar und/oder kippbar sei. Gegebenenfalls müsse eine Hilfsperson die erforderlichen Einstellungen vornehmen. Falle einem Kandidaten das Schreiben von Hand schwer, sei ihm ein Computer oder - wenn er einen PC nicht angemessen bedienen könne - ein Diktiergerät zur Verfügung zu stellen. Weiter könne behinderten Kandidaten eine Arbeitsassistenz in Form eines Vorlesers oder einer Schreibhilfe zur Verfügung gestellt werden. Diese führe manuelle Arbeiten aus, wie Stifte bereit stellen, Seiten umblättern oder Hilfestellung beim Gang auf die Toilette.</w:t>
      </w:r>
    </w:p>
    <w:p>
      <w:r>
        <w:rPr>
          <w:b/>
        </w:rPr>
        <w:t>E. 5</w:t>
      </w:r>
    </w:p>
    <w:p>
      <w:r>
        <w:t>Die Vorinstanz gewährte dem Beschwerdeführer mit Verfügung vom 30. Juli 2007 eine Verlängerung der Prüfungszeit bei den schriftlichen Prüfungen und bewilligte die Benutzung eines PC. Weitergehende Anpassungen der Prüfungsmodalitäten lehnte sie ab. Der Beschwerdeführer rügt, die Vorinstanz habe keines seiner medizinisch begründeten Begehren betreffend Prüfungsgestaltung akzeptiert und begründe nicht, weshalb der Prüfungszweck bei ausschliesslich mündlichen Prüfungen nicht erreicht werden könne. Indem die Vorinstanz schematisch entschieden habe, ohne dabei die besonderen Umstände des Einzelfalls zu berücksichtigen, habe sie ihr Ermessen unterschritten. Angesichts der grossen Bedeutung der Ergänzungsprüfung, die den Weg zu einer höheren Bildung öffne, hätte die Vorinstanz ihr Ermessen aber besonders sorgfältig ausüben müssen. Die beantragten Prüfungsanpassungen seien mit relativ geringem Aufwand sowohl realisierbar als auch verhältnismässig und ermöglichten ihm die gleichen Prüfungsbedingungen wie den übrigen Absolventen.</w:t>
      </w:r>
    </w:p>
    <w:p>
      <w:r>
        <w:rPr>
          <w:b/>
        </w:rPr>
        <w:t>E. 5.1</w:t>
      </w:r>
    </w:p>
    <w:p>
      <w:r>
        <w:t>Beim angefochtenen Entscheid der Vorinstanz vom 30. Juli 2007 handelt es sich im Rahmen des Prüfungsverfahrens um einen selbstständig anfechtbaren Zulassungsentscheid (Art. 5 der Verordnung vom 7. Dezember 1998 über die schweizerische Maturitätsprüfung [SR 413.12]; im Folgenden: Maturitätsprüfungsverordnung). Er bezieht sich auf die Frage der Zulassung zur Prüfung mit den von einem Kandidaten beantragten Modalitäten. Vorliegend geht es dabei um die Zulassung zur Prüfung mit gewissen Erleichterungen, um der Behinderung des Beschwerdeführers gerecht zu werden. Der Entscheid stützt sich auf Art. 12 der Verordnung vom 19. Dezember 2003 über die Anerkennung von Berufsmaturitätsausweisen für die Zulassung zu den universitären Hochschulen (SR 413.14), im Folgenden: Anerkennungsverordnung i.V.m. Art. 27 Maturitätsprüfungsverordnung, der wie folgt lautet: « Sofern besondere Umstände dies erfordern (etwa bei behinderten Kandidatinnen und Kandidaten), kann die Kommission auf begründetes Gesuch hin Abweichungen von den Bestimmungen dieser Verordnung zulassen. Der Prüfungszweck nach Artikel 8 muss aber in jedem Fall erreicht werden. » Mit dieser Regelung werden der Vorinstanz in Bezug auf die Ausnahmeregelung zugunsten behinderter Kandidaten für den Entscheid im Einzelfall ein Entschliessungs- und Auswahlermessen eingeräumt. Damit werden sowohl der Entscheid über das Ob als auch derjenige in Bezug auf die Art und den Umfang allfälliger Abweichungen und Ausnahmen von den Prüfungsbestimmungen in ihr Ermessen gestellt. Dieser weite Ermessensspielraum bedeutet aber nicht, dass die Vorinstanz in ihrer Entscheidung völlig frei ist. Sie hat innerhalb ihres Entscheidungsspielraums unter Berücksichtigung der Rechtsgrundsätze der Ermessensausübung vielmehr die zweckmässigste Lösung zu treffen. Die Vorinstanz ist dabei an die Verfassung gebunden und muss insbesondere das Rechtsgleichheitsgebot, das Verhältnismässigkeitsprinzip und die Pflicht zur Wahrung der öffentlichen Interessen befolgen. Zudem sind Sinn und Zweck der gesetzlichen Ordnung auch bei Ermessensentscheiden zu beachten. Das Ermessen ist insoweit einer eingrenzenden Verrechtlichung ausgesetzt. Pflichtgemässe Ausübung bedeutet aber nicht nur, dass der Entscheid rechtmässig, sondern auch, dass er angemessen (zweckmässig) sein muss. Des Weiteren steht die pflichtgemässe Bindung der Ermessensentscheide in einem Zusammenhang mit dem Begründungszwang, d. h. der Pflicht, Entscheide zu begründen (ULRICH HÄFELIN/GEORG MÜLLER/FELIX UHLMANN, Allgemeines Verwaltungsrecht, 5. Aufl., Zürich/Basel/Genf 2006, Rz. 441 ff.; Verwaltungspraxis der Bundesbehörden 66.22 E. 3.5.2, mit weiteren Hinweisen).</w:t>
      </w:r>
    </w:p>
    <w:p>
      <w:r>
        <w:rPr>
          <w:b/>
        </w:rPr>
        <w:t>E. 5.2</w:t>
      </w:r>
    </w:p>
    <w:p>
      <w:r>
        <w:t>Im Folgenden ist zu prüfen, ob die Vorinstanz im Zulassungsentscheid das ihr zustehende Ermessen im Rahmen der Ausnahmeregelung für behinderte Prüfungskandidaten sachgerecht und mithin rechtsfehlerfrei, d.h. nicht missbräuchlich, ausgeübt hat. Die Vorinstanz lehnte eine Prüfung des Beschwerdeführers in mündlicher Form mit der Begründung ab, die anwendbare Verordnung lege die Form der Prüfungen in den einzelnen Fächern abschliessend fest. Die Begehren des Beschwerdeführers betreffend skizzenartige Zeichnungen und betreffend die Prüfung im Fach Deutsch lehnte sie implizit mit folgender Bemerkung ab: « Weitergehende Anpassungen werden nicht vorgenommen .»</w:t>
      </w:r>
    </w:p>
    <w:p>
      <w:r>
        <w:rPr>
          <w:b/>
        </w:rPr>
        <w:t>E. 5.2.1</w:t>
      </w:r>
    </w:p>
    <w:p>
      <w:r>
        <w:t>Bei der Begründungspflicht handelt es sich um einen Teilgehalt des Anspruchs auf rechtliches Gehör gemäss Art. 29 Abs. 2 BV. Eine sachgerechte Anfechtung eines Verwaltungsakts ist nur dann möglich, wenn sich sowohl der Betroffene als auch die Rechtsmittelinstanz ein Bild über die Tragweite eines Entscheids machen können. Demnach müssen in jedem Fall diejenigen Überlegungen angeführt werden, von denen sich die Behörde hat leiten lassen und auf die sie ihren Entscheid stützt, wobei sie sich jedoch auf die wesentlichen Gesichtspunkte beschränken darf. Erforderlich ist, dass sich aus der Gesamtheit der Begründung ergibt, weshalb die Behörde den Vorbringen der Partei nicht folgen konnte. Die Anforderungen an die Begründungsdichte sind je nach Komplexität des Sachverhalts bzw. des der Behörde eingeräumten Ermessensspielraums unterschiedlich. So müssen insbesondere die Auslegung von unbestimmten Gesetzesbegriffen und die Ermessensbetätigung so erklärt werden, dass sie nachvollziehbar sind. An die Begründung sind umso strengere Anforderungen zu stellen, je grösser der der Behörde eingeräumte Ermessensspielraum ist und je vielfältiger die tatsächlichen Voraussetzungen sind, die bei der Betätigung des Ermessens zu berücksichtigen sind. Eine sachgerechte Anfechtung und Überprüfung von Ermessensentscheiden sind nur möglich, wenn die zuständige Instanz die Gründe für ihren Entscheid darlegt (BGE 129 I 232 E. 3.3, mit weiteren Hinweisen). Rechtsfolge einer Verletzung der Begründungspflicht und somit des Anspruchs auf rechtliches Gehör ist die Aufhebung der angefochtenen Verfügung. Sofern Abklärungen, Prüfungen und Gewichtungen unterblieben sind, die für einen Entscheid in der Sache unabdingbar sind, wird die Rechtssache zu einem erneuten Entscheid an die Vorinstanz zurückgewiesen. Wenn der Rechtsmittelinstanz die gleiche Überprüfungsbefugnis wie der Vorinstanz zukommt und die entscheiderheblichen Abklärungen gemacht worden sind, kann in der Sache entschieden werden, sofern dem Beschwerdeführer daraus kein Nachteil erwächst (Urteil des BVGer B-2782/2007 vom 4. Oktober 2007 E. 3.2; BGE 129 I 232 E. 3.3, je mit weiteren Hinweisen).</w:t>
      </w:r>
    </w:p>
    <w:p>
      <w:r>
        <w:rPr>
          <w:b/>
        </w:rPr>
        <w:t>E. 5.2.2</w:t>
      </w:r>
    </w:p>
    <w:p>
      <w:r>
        <w:t>In Bezug auf den Antrag des Beschwerdeführers, im Fach Deutsch sei beim Aufsatz die Anzahl der Pflichtwörter zu reduzieren, ist festzuhalten, dass er die Prüfung in diesem Fach erst anlässlich der zweiten Teilprüfung absolvieren wird (...). Deshalb waren diesbezügliche Regelungen nicht Gegenstand des vorinstanzlichen Verfahrens betreffend die erste Teilprüfung, und die Vorinstanz hat sich im Zulassungsentscheid zu Recht nicht zu dieser Frage geäussert. Infolgedessen gehören diese Prüfungsanpassungen auch nicht zum Streitgegenstand des vorliegenden Verfahrens, weshalb auf die diesbezüglichen Anträge des Beschwerdeführers nicht einzutreten ist. Eine ausschliessliche Prüfung des Beschwerdeführers in mündlicher Form lehnte die Vorinstanz mit der Begründung ab, die anwendbare Verordnung lege die Form der Prüfungen in den einzelnen Fächern abschliessend fest. Zuvor hatte sie diesbezüglich im Schreiben vom 21. Juni 2007 ausgeführt, bei ausschliesslich mündlichen Prüfungen werde der Prüfungszweck nicht erreicht. Diese Begründungen erscheinen aus folgenden Gründen nicht nachvollziehbar: Art. 27 Maturitätsprüfungsverordnung sieht ausdrücklich vor, dass für behinderte Kandidaten Abweichungen von den Prüfungsbestimmungen vorgesehen werden können. Ausgehend von Sinn und Zweck der Bestimmung, behinderungsbedingte Nachteile auszugleichen, müssen derartige Abweichungen auch Anpassungen in Bezug auf die Modalitäten der Prüfungen, insbesondere der Form der Prüfungen, einschliessen. Weshalb dies nicht der Fall sein sollte, führt die Vorinstanz nicht aus. Sie begründet auch nicht, weshalb und inwiefern der Prüfungszweck bei ausschliesslich mündlichen Prüfungen nicht erreicht werden könne, und sie reicht im vorliegenden Verfahren keine entsprechende Begründung nach. Des Weiteren äussert sich die Vorinstanz mit keinem Wort zu den vom Beschwerdeführer eingereichten ärztlichen Zeugnissen sowie zu der Frage, ob die beantragten Prüfungsanpassungen verhältnismässig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